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widowControl w:val="off"/>
        <w:rPr>
          <w:rFonts w:eastAsia="Times New Roman"/>
          <w:sz w:val="28"/>
          <w:szCs w:val="28"/>
          <w:lang w:val="en-US"/>
        </w:rPr>
        <w:outlineLvl w:val="0"/>
      </w:pPr>
      <w:r>
        <w:rPr>
          <w:rFonts w:eastAsia="Times New Roman"/>
          <w:sz w:val="28"/>
          <w:szCs w:val="28"/>
          <w:lang w:val="en-US"/>
        </w:rPr>
      </w:r>
      <w:r>
        <w:rPr>
          <w:rFonts w:eastAsia="Times New Roman"/>
          <w:sz w:val="28"/>
          <w:szCs w:val="28"/>
          <w:lang w:val="en-US"/>
        </w:rPr>
      </w:r>
      <w:r>
        <w:rPr>
          <w:rFonts w:eastAsia="Times New Roman"/>
          <w:sz w:val="28"/>
          <w:szCs w:val="28"/>
          <w:lang w:val="en-US"/>
        </w:rPr>
      </w:r>
    </w:p>
    <w:p>
      <w:pPr>
        <w:jc w:val="right"/>
        <w:widowControl w:val="off"/>
        <w:rPr>
          <w:rFonts w:eastAsia="Times New Roman"/>
          <w:sz w:val="28"/>
          <w:szCs w:val="28"/>
          <w:highlight w:val="white"/>
        </w:rPr>
        <w:outlineLvl w:val="0"/>
      </w:pPr>
      <w:r>
        <w:rPr>
          <w:rFonts w:eastAsia="Times New Roman"/>
          <w:sz w:val="28"/>
          <w:szCs w:val="28"/>
          <w:highlight w:val="white"/>
        </w:rPr>
        <w:t xml:space="preserve">ПРИЛОЖЕНИЕ</w:t>
      </w:r>
      <w:r>
        <w:rPr>
          <w:rFonts w:eastAsia="Times New Roman"/>
          <w:sz w:val="28"/>
          <w:szCs w:val="28"/>
          <w:highlight w:val="white"/>
        </w:rPr>
      </w:r>
      <w:r>
        <w:rPr>
          <w:rFonts w:eastAsia="Times New Roman"/>
          <w:sz w:val="28"/>
          <w:szCs w:val="28"/>
          <w:highlight w:val="white"/>
        </w:rPr>
      </w:r>
    </w:p>
    <w:p>
      <w:pPr>
        <w:jc w:val="right"/>
        <w:widowControl w:val="off"/>
        <w:rPr>
          <w:rFonts w:eastAsia="Times New Roman"/>
          <w:sz w:val="28"/>
          <w:szCs w:val="28"/>
          <w:highlight w:val="white"/>
        </w:rPr>
      </w:pPr>
      <w:r>
        <w:rPr>
          <w:rFonts w:eastAsia="Times New Roman"/>
          <w:sz w:val="28"/>
          <w:szCs w:val="28"/>
          <w:highlight w:val="white"/>
        </w:rPr>
        <w:t xml:space="preserve">к приказу департамента</w:t>
      </w:r>
      <w:r>
        <w:rPr>
          <w:rFonts w:eastAsia="Times New Roman"/>
          <w:sz w:val="28"/>
          <w:szCs w:val="28"/>
          <w:highlight w:val="white"/>
        </w:rPr>
      </w:r>
      <w:r>
        <w:rPr>
          <w:rFonts w:eastAsia="Times New Roman"/>
          <w:sz w:val="28"/>
          <w:szCs w:val="28"/>
          <w:highlight w:val="white"/>
        </w:rPr>
      </w:r>
    </w:p>
    <w:p>
      <w:pPr>
        <w:jc w:val="right"/>
        <w:widowControl w:val="off"/>
        <w:rPr>
          <w:rFonts w:eastAsia="Times New Roman"/>
          <w:sz w:val="28"/>
          <w:szCs w:val="28"/>
          <w:highlight w:val="white"/>
        </w:rPr>
      </w:pPr>
      <w:r>
        <w:rPr>
          <w:rFonts w:eastAsia="Times New Roman"/>
          <w:sz w:val="28"/>
          <w:szCs w:val="28"/>
          <w:highlight w:val="white"/>
        </w:rPr>
        <w:t xml:space="preserve">имущества и земельных отношений</w:t>
      </w:r>
      <w:r>
        <w:rPr>
          <w:rFonts w:eastAsia="Times New Roman"/>
          <w:sz w:val="28"/>
          <w:szCs w:val="28"/>
          <w:highlight w:val="white"/>
        </w:rPr>
      </w:r>
      <w:r>
        <w:rPr>
          <w:rFonts w:eastAsia="Times New Roman"/>
          <w:sz w:val="28"/>
          <w:szCs w:val="28"/>
          <w:highlight w:val="white"/>
        </w:rPr>
      </w:r>
    </w:p>
    <w:p>
      <w:pPr>
        <w:jc w:val="right"/>
        <w:widowControl w:val="off"/>
        <w:rPr>
          <w:rFonts w:eastAsia="Times New Roman"/>
          <w:sz w:val="28"/>
          <w:szCs w:val="28"/>
          <w:highlight w:val="white"/>
        </w:rPr>
      </w:pPr>
      <w:r>
        <w:rPr>
          <w:rFonts w:eastAsia="Times New Roman"/>
          <w:sz w:val="28"/>
          <w:szCs w:val="28"/>
          <w:highlight w:val="white"/>
        </w:rPr>
        <w:t xml:space="preserve">Новосибирской области</w:t>
      </w:r>
      <w:r>
        <w:rPr>
          <w:rFonts w:eastAsia="Times New Roman"/>
          <w:sz w:val="28"/>
          <w:szCs w:val="28"/>
          <w:highlight w:val="white"/>
        </w:rPr>
      </w:r>
      <w:r>
        <w:rPr>
          <w:rFonts w:eastAsia="Times New Roman"/>
          <w:sz w:val="28"/>
          <w:szCs w:val="28"/>
          <w:highlight w:val="white"/>
        </w:rPr>
      </w:r>
    </w:p>
    <w:p>
      <w:pPr>
        <w:jc w:val="righ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highlight w:val="white"/>
        </w:rPr>
        <w:t xml:space="preserve">от ____________ № ________</w:t>
      </w:r>
      <w:r>
        <w:rPr>
          <w:rFonts w:eastAsia="Times New Roman"/>
          <w:sz w:val="28"/>
          <w:szCs w:val="28"/>
        </w:rPr>
        <w:t xml:space="preserve">_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ПОРЯДОК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pStyle w:val="874"/>
        <w:jc w:val="center"/>
        <w:rPr>
          <w:rFonts w:ascii="Times New Roman" w:hAnsi="Times New Roman" w:cs="Times New Roman"/>
          <w:b w:val="0"/>
          <w:bCs/>
          <w:sz w:val="28"/>
          <w:szCs w:val="28"/>
          <w:highlight w:val="white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проведения оценки рисков государственных учреждений Новосибирской области, подведомственных департаменту имущества и земельных отношений Новосибирской области</w:t>
      </w:r>
      <w:r>
        <w:rPr>
          <w:rFonts w:ascii="Times New Roman" w:hAnsi="Times New Roman" w:cs="Times New Roman"/>
          <w:b w:val="0"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/>
          <w:sz w:val="28"/>
          <w:szCs w:val="28"/>
          <w:highlight w:val="white"/>
        </w:rPr>
      </w:r>
    </w:p>
    <w:p>
      <w:pPr>
        <w:jc w:val="center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</w:p>
    <w:p>
      <w:pPr>
        <w:pStyle w:val="874"/>
        <w:ind w:firstLine="708"/>
        <w:jc w:val="both"/>
        <w:rPr>
          <w:highlight w:val="white"/>
        </w:rPr>
        <w:outlineLvl w:val="1"/>
      </w:pP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1. Порядок проведения оценки рисков государственных учреждений Новосибирской области, подведомст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венных департаменту имущества и земельных отношений Новосибирской области (далее 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noBreakHyphen/>
        <w:t xml:space="preserve"> Порядок), раз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работан в соответствии с пунктом 9 Порядка осуществления областными исполнительными органами Новосибирской области контроля за деятельностью подведомственных 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сударственных автономных учреждений Новосибирской области, государственных бюджетных учреждений Новосибирской области, государственных казенных учреждений Новосибирской области, установленного постановлением Правительства Новосибирской области от 21.03.201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7 № 112-п (далее </w:t>
      </w:r>
      <w:r>
        <w:rPr>
          <w:rFonts w:ascii="Times New Roman" w:hAnsi="Times New Roman" w:cs="Times New Roman"/>
          <w:b w:val="0"/>
          <w:sz w:val="28"/>
          <w:szCs w:val="28"/>
        </w:rPr>
        <w:noBreakHyphen/>
        <w:t xml:space="preserve"> Порядок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 № 112-п), в целях применения риск-ориентированного подхода при осуществлении департаментом имущества и земельных отношений Новосибирской области (далее 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noBreakHyphen/>
        <w:t xml:space="preserve"> департамент) контроля за деятельностью государственных учреждений Новосибир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ской области, подведомственных департаменту (далее 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noBreakHyphen/>
        <w:t xml:space="preserve"> учреждения).</w:t>
      </w:r>
      <w:r>
        <w:rPr>
          <w:highlight w:val="white"/>
        </w:rPr>
      </w:r>
      <w:r>
        <w:rPr>
          <w:highlight w:val="white"/>
        </w:rPr>
      </w:r>
    </w:p>
    <w:p>
      <w:pPr>
        <w:ind w:firstLine="708"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2. Порядок определяет процедуру проведения департаментом</w:t>
      </w:r>
      <w:r>
        <w:rPr>
          <w:b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оценки рисков учреждений и присвоения им категории риска (высокая, средняя, низкая) для формирования годового плана проведения планов</w:t>
      </w:r>
      <w:r>
        <w:rPr>
          <w:sz w:val="28"/>
          <w:szCs w:val="28"/>
          <w:highlight w:val="white"/>
        </w:rPr>
        <w:t xml:space="preserve">ых проверок деятельности учреждений в соответствии с Порядком № 112-п (далее – План проверок).</w:t>
      </w:r>
      <w:r>
        <w:rPr>
          <w:highlight w:val="white"/>
        </w:rPr>
      </w:r>
      <w:r>
        <w:rPr>
          <w:highlight w:val="white"/>
        </w:rPr>
      </w:r>
    </w:p>
    <w:p>
      <w:pPr>
        <w:pStyle w:val="874"/>
        <w:ind w:firstLine="708"/>
        <w:jc w:val="both"/>
        <w:rPr>
          <w:b w:val="0"/>
          <w:strike/>
          <w:highlight w:val="white"/>
        </w:rPr>
        <w:outlineLvl w:val="1"/>
      </w:pP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3. Проведение оценки рисков учреждений и присвоение учреждениям категории риска осуществляется должностным лицом, уполномоченным на проведение проверок деятельно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сти учреждений в соответствии с Порядком № 112-п, до 1 сентября текущего года на основании предоставляемой структурными подразделениями департамента информации, перечень которой предусмотрен Приложением № 1 к настоящему Порядку.</w:t>
      </w:r>
      <w:r>
        <w:rPr>
          <w:b w:val="0"/>
          <w:strike/>
          <w:highlight w:val="white"/>
        </w:rPr>
      </w:r>
      <w:r>
        <w:rPr>
          <w:b w:val="0"/>
          <w:strike/>
          <w:highlight w:val="white"/>
        </w:rPr>
      </w:r>
    </w:p>
    <w:p>
      <w:pPr>
        <w:pStyle w:val="874"/>
        <w:ind w:firstLine="708"/>
        <w:jc w:val="both"/>
        <w:rPr>
          <w:rFonts w:ascii="Times New Roman" w:hAnsi="Times New Roman" w:cs="Times New Roman"/>
          <w:b w:val="0"/>
          <w:strike/>
          <w:sz w:val="28"/>
          <w:szCs w:val="28"/>
          <w:highlight w:val="white"/>
        </w:rPr>
        <w:outlineLvl w:val="1"/>
      </w:pP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4. Оценка рисков учреждений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 проводится по бальной системе исходя из критериев</w:t>
      </w:r>
      <w:r>
        <w:rPr>
          <w:rFonts w:ascii="Times New Roman" w:hAnsi="Times New Roman" w:cs="Times New Roman"/>
          <w:b w:val="0"/>
          <w:sz w:val="28"/>
          <w:szCs w:val="28"/>
          <w:highlight w:val="white"/>
          <w:lang w:eastAsia="zh-CN"/>
        </w:rPr>
        <w:t xml:space="preserve"> отнесения учреждения к определенной категории риска</w:t>
      </w:r>
      <w:r>
        <w:rPr>
          <w:rFonts w:ascii="Times New Roman" w:hAnsi="Times New Roman" w:cs="Times New Roman"/>
          <w:b w:val="0"/>
          <w:sz w:val="28"/>
          <w:szCs w:val="28"/>
          <w:highlight w:val="white"/>
          <w:lang w:eastAsia="zh-CN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highlight w:val="white"/>
          <w:lang w:eastAsia="zh-CN"/>
        </w:rPr>
        <w:t xml:space="preserve">(далее – критерии)</w:t>
      </w:r>
      <w:r>
        <w:rPr>
          <w:rFonts w:ascii="Times New Roman" w:hAnsi="Times New Roman" w:cs="Times New Roman"/>
          <w:b w:val="0"/>
          <w:sz w:val="28"/>
          <w:szCs w:val="28"/>
          <w:highlight w:val="white"/>
          <w:lang w:eastAsia="zh-CN"/>
        </w:rPr>
        <w:t xml:space="preserve">.</w:t>
      </w:r>
      <w:r>
        <w:rPr>
          <w:rFonts w:ascii="Times New Roman" w:hAnsi="Times New Roman" w:cs="Times New Roman"/>
          <w:b w:val="0"/>
          <w:strike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strike/>
          <w:sz w:val="28"/>
          <w:szCs w:val="28"/>
          <w:highlight w:val="white"/>
        </w:rPr>
      </w:r>
    </w:p>
    <w:p>
      <w:pPr>
        <w:ind w:firstLine="708"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Критерии</w:t>
      </w:r>
      <w:r>
        <w:rPr>
          <w:sz w:val="28"/>
          <w:szCs w:val="28"/>
          <w:highlight w:val="white"/>
        </w:rPr>
        <w:t xml:space="preserve">,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  <w:lang w:eastAsia="zh-CN"/>
        </w:rPr>
        <w:t xml:space="preserve">зн</w:t>
      </w:r>
      <w:r>
        <w:rPr>
          <w:sz w:val="28"/>
          <w:szCs w:val="28"/>
          <w:highlight w:val="white"/>
          <w:lang w:eastAsia="zh-CN"/>
        </w:rPr>
        <w:t xml:space="preserve">ачения их показателей и количество баллов</w:t>
      </w:r>
      <w:r>
        <w:rPr>
          <w:b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по показателям критерие</w:t>
      </w:r>
      <w:r>
        <w:rPr>
          <w:sz w:val="28"/>
          <w:szCs w:val="28"/>
          <w:highlight w:val="white"/>
        </w:rPr>
        <w:t xml:space="preserve">в предусматриваются Приложением № 2 к настоящему Порядку.</w:t>
      </w:r>
      <w:r>
        <w:rPr>
          <w:highlight w:val="white"/>
        </w:rPr>
      </w:r>
      <w:r>
        <w:rPr>
          <w:highlight w:val="white"/>
        </w:rPr>
      </w:r>
    </w:p>
    <w:p>
      <w:pPr>
        <w:pStyle w:val="883"/>
        <w:tabs>
          <w:tab w:val="left" w:pos="993" w:leader="none"/>
        </w:tabs>
        <w:rPr>
          <w:strike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5. Для целей отнесения учреждения к категории риска (высокая, средняя, низкая) на основании рассчитанных значений показателей по каждому критерию присваивается соответствующее количество баллов</w:t>
      </w:r>
      <w:r>
        <w:rPr>
          <w:sz w:val="28"/>
          <w:szCs w:val="28"/>
          <w:highlight w:val="white"/>
        </w:rPr>
        <w:t xml:space="preserve">. </w:t>
      </w:r>
      <w:r>
        <w:rPr>
          <w:strike/>
          <w:sz w:val="28"/>
          <w:szCs w:val="28"/>
          <w:highlight w:val="white"/>
        </w:rPr>
      </w:r>
      <w:r>
        <w:rPr>
          <w:strike/>
          <w:sz w:val="28"/>
          <w:szCs w:val="28"/>
          <w:highlight w:val="white"/>
        </w:rPr>
      </w:r>
    </w:p>
    <w:p>
      <w:pPr>
        <w:pStyle w:val="883"/>
        <w:tabs>
          <w:tab w:val="left" w:pos="993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Сумма баллов по каждому критерию составляет итоговый балл учреждения.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83"/>
        <w:tabs>
          <w:tab w:val="left" w:pos="993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6. На основании значения итогового балла учреждению присваивается категория риска: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83"/>
        <w:tabs>
          <w:tab w:val="left" w:pos="993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1) категория высокого риска при итоговом балле учреждения от 15 и более;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83"/>
        <w:tabs>
          <w:tab w:val="left" w:pos="993" w:leader="none"/>
        </w:tabs>
        <w:rPr>
          <w:sz w:val="28"/>
          <w:szCs w:val="28"/>
          <w:highlight w:val="white"/>
        </w:rPr>
      </w:pPr>
      <w:r/>
      <w:bookmarkStart w:id="0" w:name="undefined"/>
      <w:r>
        <w:rPr>
          <w:sz w:val="28"/>
          <w:szCs w:val="28"/>
          <w:highlight w:val="white"/>
        </w:rPr>
        <w:t xml:space="preserve">2) </w:t>
      </w:r>
      <w:bookmarkEnd w:id="0"/>
      <w:r>
        <w:rPr>
          <w:sz w:val="28"/>
          <w:szCs w:val="28"/>
          <w:highlight w:val="white"/>
        </w:rPr>
        <w:t xml:space="preserve">категори</w:t>
      </w:r>
      <w:r>
        <w:rPr>
          <w:sz w:val="28"/>
          <w:szCs w:val="28"/>
          <w:highlight w:val="white"/>
        </w:rPr>
        <w:t xml:space="preserve">я среднего риска при итоговом балле учреждения от 6 до 14;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83"/>
        <w:tabs>
          <w:tab w:val="left" w:pos="993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3) категория низкого риска при итоговом балле учреждения от 1до 5.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83"/>
        <w:tabs>
          <w:tab w:val="left" w:pos="993" w:leader="none"/>
        </w:tabs>
        <w:rPr>
          <w:color w:val="22272f"/>
          <w:sz w:val="28"/>
          <w:szCs w:val="28"/>
          <w:highlight w:val="white"/>
          <w:shd w:val="clear" w:color="auto" w:fill="ffffff"/>
        </w:rPr>
      </w:pPr>
      <w:r>
        <w:rPr>
          <w:sz w:val="28"/>
          <w:szCs w:val="28"/>
          <w:highlight w:val="white"/>
        </w:rPr>
        <w:t xml:space="preserve">7. </w:t>
      </w:r>
      <w:r>
        <w:rPr>
          <w:color w:val="22272f"/>
          <w:sz w:val="28"/>
          <w:szCs w:val="28"/>
          <w:highlight w:val="white"/>
          <w:shd w:val="clear" w:color="auto" w:fill="ffffff"/>
        </w:rPr>
        <w:t xml:space="preserve">В План проверок включаются учреждения, которым присвоена категория высокого и среднего риска. </w:t>
      </w:r>
      <w:r>
        <w:rPr>
          <w:color w:val="22272f"/>
          <w:sz w:val="28"/>
          <w:szCs w:val="28"/>
          <w:highlight w:val="white"/>
          <w:shd w:val="clear" w:color="auto" w:fill="ffffff"/>
        </w:rPr>
      </w:r>
      <w:r>
        <w:rPr>
          <w:color w:val="22272f"/>
          <w:sz w:val="28"/>
          <w:szCs w:val="28"/>
          <w:highlight w:val="white"/>
          <w:shd w:val="clear" w:color="auto" w:fill="ffffff"/>
        </w:rPr>
      </w:r>
    </w:p>
    <w:p>
      <w:pPr>
        <w:pStyle w:val="883"/>
        <w:tabs>
          <w:tab w:val="left" w:pos="993" w:leader="none"/>
        </w:tabs>
        <w:rPr>
          <w:sz w:val="28"/>
          <w:szCs w:val="28"/>
          <w:highlight w:val="white"/>
        </w:rPr>
      </w:pPr>
      <w:r>
        <w:rPr>
          <w:color w:val="22272f"/>
          <w:sz w:val="28"/>
          <w:szCs w:val="28"/>
          <w:highlight w:val="white"/>
          <w:shd w:val="clear" w:color="auto" w:fill="ffffff"/>
        </w:rPr>
        <w:t xml:space="preserve">Учреждения, </w:t>
      </w:r>
      <w:r>
        <w:rPr>
          <w:color w:val="22272f"/>
          <w:sz w:val="28"/>
          <w:szCs w:val="28"/>
          <w:highlight w:val="white"/>
          <w:shd w:val="clear" w:color="auto" w:fill="ffffff"/>
        </w:rPr>
        <w:t xml:space="preserve">которым присвоена категория низкого риска, включаются в План проверок в случае, если с момента проведения последней проверки прошло более двух лет.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74"/>
        <w:jc w:val="both"/>
        <w:rPr>
          <w:rFonts w:ascii="Times New Roman" w:hAnsi="Times New Roman" w:cs="Times New Roman"/>
          <w:b w:val="0"/>
          <w:sz w:val="28"/>
          <w:szCs w:val="28"/>
          <w:highlight w:val="white"/>
        </w:rPr>
        <w:outlineLvl w:val="1"/>
      </w:pPr>
      <w:r>
        <w:rPr>
          <w:rFonts w:ascii="Times New Roman" w:hAnsi="Times New Roman" w:cs="Times New Roman"/>
          <w:b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567" w:bottom="993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72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 w:default="1">
    <w:name w:val="Normal"/>
    <w:qFormat/>
    <w:rPr>
      <w:rFonts w:ascii="Times New Roman" w:hAnsi="Times New Roman"/>
      <w:sz w:val="24"/>
      <w:szCs w:val="24"/>
      <w:lang w:eastAsia="ru-RU"/>
    </w:rPr>
  </w:style>
  <w:style w:type="paragraph" w:styleId="677">
    <w:name w:val="Heading 1"/>
    <w:basedOn w:val="676"/>
    <w:next w:val="676"/>
    <w:link w:val="70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8">
    <w:name w:val="Heading 2"/>
    <w:basedOn w:val="676"/>
    <w:next w:val="676"/>
    <w:link w:val="70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9">
    <w:name w:val="Heading 3"/>
    <w:basedOn w:val="676"/>
    <w:next w:val="676"/>
    <w:link w:val="70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0">
    <w:name w:val="Heading 4"/>
    <w:basedOn w:val="676"/>
    <w:next w:val="676"/>
    <w:link w:val="70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1">
    <w:name w:val="Heading 5"/>
    <w:basedOn w:val="676"/>
    <w:next w:val="676"/>
    <w:link w:val="70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82">
    <w:name w:val="Heading 6"/>
    <w:basedOn w:val="676"/>
    <w:next w:val="676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3">
    <w:name w:val="Heading 7"/>
    <w:basedOn w:val="676"/>
    <w:next w:val="676"/>
    <w:link w:val="71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676"/>
    <w:next w:val="676"/>
    <w:link w:val="71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5">
    <w:name w:val="Heading 9"/>
    <w:basedOn w:val="676"/>
    <w:next w:val="676"/>
    <w:link w:val="7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6" w:default="1">
    <w:name w:val="Default Paragraph Font"/>
    <w:uiPriority w:val="1"/>
    <w:semiHidden/>
    <w:unhideWhenUsed/>
  </w:style>
  <w:style w:type="table" w:styleId="6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8" w:default="1">
    <w:name w:val="No List"/>
    <w:uiPriority w:val="99"/>
    <w:semiHidden/>
    <w:unhideWhenUsed/>
  </w:style>
  <w:style w:type="character" w:styleId="689" w:customStyle="1">
    <w:name w:val="Heading 1 Char"/>
    <w:basedOn w:val="686"/>
    <w:uiPriority w:val="9"/>
    <w:rPr>
      <w:rFonts w:ascii="Arial" w:hAnsi="Arial" w:eastAsia="Arial" w:cs="Arial"/>
      <w:sz w:val="40"/>
      <w:szCs w:val="40"/>
    </w:rPr>
  </w:style>
  <w:style w:type="character" w:styleId="690" w:customStyle="1">
    <w:name w:val="Heading 2 Char"/>
    <w:basedOn w:val="686"/>
    <w:uiPriority w:val="9"/>
    <w:rPr>
      <w:rFonts w:ascii="Arial" w:hAnsi="Arial" w:eastAsia="Arial" w:cs="Arial"/>
      <w:sz w:val="34"/>
    </w:rPr>
  </w:style>
  <w:style w:type="character" w:styleId="691" w:customStyle="1">
    <w:name w:val="Heading 3 Char"/>
    <w:basedOn w:val="686"/>
    <w:uiPriority w:val="9"/>
    <w:rPr>
      <w:rFonts w:ascii="Arial" w:hAnsi="Arial" w:eastAsia="Arial" w:cs="Arial"/>
      <w:sz w:val="30"/>
      <w:szCs w:val="30"/>
    </w:rPr>
  </w:style>
  <w:style w:type="character" w:styleId="692" w:customStyle="1">
    <w:name w:val="Heading 4 Char"/>
    <w:basedOn w:val="686"/>
    <w:uiPriority w:val="9"/>
    <w:rPr>
      <w:rFonts w:ascii="Arial" w:hAnsi="Arial" w:eastAsia="Arial" w:cs="Arial"/>
      <w:b/>
      <w:bCs/>
      <w:sz w:val="26"/>
      <w:szCs w:val="26"/>
    </w:rPr>
  </w:style>
  <w:style w:type="character" w:styleId="693" w:customStyle="1">
    <w:name w:val="Heading 5 Char"/>
    <w:basedOn w:val="686"/>
    <w:uiPriority w:val="9"/>
    <w:rPr>
      <w:rFonts w:ascii="Arial" w:hAnsi="Arial" w:eastAsia="Arial" w:cs="Arial"/>
      <w:b/>
      <w:bCs/>
      <w:sz w:val="24"/>
      <w:szCs w:val="24"/>
    </w:rPr>
  </w:style>
  <w:style w:type="character" w:styleId="694" w:customStyle="1">
    <w:name w:val="Heading 6 Char"/>
    <w:basedOn w:val="686"/>
    <w:uiPriority w:val="9"/>
    <w:rPr>
      <w:rFonts w:ascii="Arial" w:hAnsi="Arial" w:eastAsia="Arial" w:cs="Arial"/>
      <w:b/>
      <w:bCs/>
      <w:sz w:val="22"/>
      <w:szCs w:val="22"/>
    </w:rPr>
  </w:style>
  <w:style w:type="character" w:styleId="695" w:customStyle="1">
    <w:name w:val="Heading 7 Char"/>
    <w:basedOn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6" w:customStyle="1">
    <w:name w:val="Heading 8 Char"/>
    <w:basedOn w:val="686"/>
    <w:uiPriority w:val="9"/>
    <w:rPr>
      <w:rFonts w:ascii="Arial" w:hAnsi="Arial" w:eastAsia="Arial" w:cs="Arial"/>
      <w:i/>
      <w:iCs/>
      <w:sz w:val="22"/>
      <w:szCs w:val="22"/>
    </w:rPr>
  </w:style>
  <w:style w:type="character" w:styleId="697" w:customStyle="1">
    <w:name w:val="Heading 9 Char"/>
    <w:basedOn w:val="686"/>
    <w:uiPriority w:val="9"/>
    <w:rPr>
      <w:rFonts w:ascii="Arial" w:hAnsi="Arial" w:eastAsia="Arial" w:cs="Arial"/>
      <w:i/>
      <w:iCs/>
      <w:sz w:val="21"/>
      <w:szCs w:val="21"/>
    </w:rPr>
  </w:style>
  <w:style w:type="character" w:styleId="698" w:customStyle="1">
    <w:name w:val="Title Char"/>
    <w:basedOn w:val="686"/>
    <w:uiPriority w:val="10"/>
    <w:rPr>
      <w:sz w:val="48"/>
      <w:szCs w:val="48"/>
    </w:rPr>
  </w:style>
  <w:style w:type="character" w:styleId="699" w:customStyle="1">
    <w:name w:val="Subtitle Char"/>
    <w:basedOn w:val="686"/>
    <w:uiPriority w:val="11"/>
    <w:rPr>
      <w:sz w:val="24"/>
      <w:szCs w:val="24"/>
    </w:rPr>
  </w:style>
  <w:style w:type="character" w:styleId="700" w:customStyle="1">
    <w:name w:val="Quote Char"/>
    <w:uiPriority w:val="29"/>
    <w:rPr>
      <w:i/>
    </w:rPr>
  </w:style>
  <w:style w:type="character" w:styleId="701" w:customStyle="1">
    <w:name w:val="Intense Quote Char"/>
    <w:uiPriority w:val="30"/>
    <w:rPr>
      <w:i/>
    </w:rPr>
  </w:style>
  <w:style w:type="character" w:styleId="702" w:customStyle="1">
    <w:name w:val="Footnote Text Char"/>
    <w:uiPriority w:val="99"/>
    <w:rPr>
      <w:sz w:val="18"/>
    </w:rPr>
  </w:style>
  <w:style w:type="character" w:styleId="703" w:customStyle="1">
    <w:name w:val="Endnote Text Char"/>
    <w:uiPriority w:val="99"/>
    <w:rPr>
      <w:sz w:val="20"/>
    </w:rPr>
  </w:style>
  <w:style w:type="character" w:styleId="704" w:customStyle="1">
    <w:name w:val="Заголовок 1 Знак"/>
    <w:link w:val="677"/>
    <w:uiPriority w:val="9"/>
    <w:rPr>
      <w:rFonts w:ascii="Arial" w:hAnsi="Arial" w:eastAsia="Arial" w:cs="Arial"/>
      <w:sz w:val="40"/>
      <w:szCs w:val="40"/>
    </w:rPr>
  </w:style>
  <w:style w:type="character" w:styleId="705" w:customStyle="1">
    <w:name w:val="Заголовок 2 Знак"/>
    <w:link w:val="678"/>
    <w:uiPriority w:val="9"/>
    <w:rPr>
      <w:rFonts w:ascii="Arial" w:hAnsi="Arial" w:eastAsia="Arial" w:cs="Arial"/>
      <w:sz w:val="34"/>
    </w:rPr>
  </w:style>
  <w:style w:type="character" w:styleId="706" w:customStyle="1">
    <w:name w:val="Заголовок 3 Знак"/>
    <w:link w:val="679"/>
    <w:uiPriority w:val="9"/>
    <w:rPr>
      <w:rFonts w:ascii="Arial" w:hAnsi="Arial" w:eastAsia="Arial" w:cs="Arial"/>
      <w:sz w:val="30"/>
      <w:szCs w:val="30"/>
    </w:rPr>
  </w:style>
  <w:style w:type="character" w:styleId="707" w:customStyle="1">
    <w:name w:val="Заголовок 4 Знак"/>
    <w:link w:val="680"/>
    <w:uiPriority w:val="9"/>
    <w:rPr>
      <w:rFonts w:ascii="Arial" w:hAnsi="Arial" w:eastAsia="Arial" w:cs="Arial"/>
      <w:b/>
      <w:bCs/>
      <w:sz w:val="26"/>
      <w:szCs w:val="26"/>
    </w:rPr>
  </w:style>
  <w:style w:type="character" w:styleId="708" w:customStyle="1">
    <w:name w:val="Заголовок 5 Знак"/>
    <w:link w:val="681"/>
    <w:uiPriority w:val="9"/>
    <w:rPr>
      <w:rFonts w:ascii="Arial" w:hAnsi="Arial" w:eastAsia="Arial" w:cs="Arial"/>
      <w:b/>
      <w:bCs/>
      <w:sz w:val="24"/>
      <w:szCs w:val="24"/>
    </w:rPr>
  </w:style>
  <w:style w:type="character" w:styleId="709" w:customStyle="1">
    <w:name w:val="Заголовок 6 Знак"/>
    <w:link w:val="682"/>
    <w:uiPriority w:val="9"/>
    <w:rPr>
      <w:rFonts w:ascii="Arial" w:hAnsi="Arial" w:eastAsia="Arial" w:cs="Arial"/>
      <w:b/>
      <w:bCs/>
      <w:sz w:val="22"/>
      <w:szCs w:val="22"/>
    </w:rPr>
  </w:style>
  <w:style w:type="character" w:styleId="710" w:customStyle="1">
    <w:name w:val="Заголовок 7 Знак"/>
    <w:link w:val="6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1" w:customStyle="1">
    <w:name w:val="Заголовок 8 Знак"/>
    <w:link w:val="684"/>
    <w:uiPriority w:val="9"/>
    <w:rPr>
      <w:rFonts w:ascii="Arial" w:hAnsi="Arial" w:eastAsia="Arial" w:cs="Arial"/>
      <w:i/>
      <w:iCs/>
      <w:sz w:val="22"/>
      <w:szCs w:val="22"/>
    </w:rPr>
  </w:style>
  <w:style w:type="character" w:styleId="712" w:customStyle="1">
    <w:name w:val="Заголовок 9 Знак"/>
    <w:link w:val="685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List Paragraph"/>
    <w:basedOn w:val="676"/>
    <w:uiPriority w:val="34"/>
    <w:qFormat/>
    <w:pPr>
      <w:contextualSpacing/>
      <w:ind w:left="720"/>
    </w:pPr>
  </w:style>
  <w:style w:type="paragraph" w:styleId="714">
    <w:name w:val="No Spacing"/>
    <w:uiPriority w:val="1"/>
    <w:qFormat/>
  </w:style>
  <w:style w:type="paragraph" w:styleId="715">
    <w:name w:val="Title"/>
    <w:basedOn w:val="676"/>
    <w:next w:val="676"/>
    <w:link w:val="71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6" w:customStyle="1">
    <w:name w:val="Заголовок Знак"/>
    <w:link w:val="715"/>
    <w:uiPriority w:val="10"/>
    <w:rPr>
      <w:sz w:val="48"/>
      <w:szCs w:val="48"/>
    </w:rPr>
  </w:style>
  <w:style w:type="paragraph" w:styleId="717">
    <w:name w:val="Subtitle"/>
    <w:basedOn w:val="676"/>
    <w:next w:val="676"/>
    <w:link w:val="718"/>
    <w:uiPriority w:val="11"/>
    <w:qFormat/>
    <w:pPr>
      <w:spacing w:before="200" w:after="200"/>
    </w:pPr>
  </w:style>
  <w:style w:type="character" w:styleId="718" w:customStyle="1">
    <w:name w:val="Подзаголовок Знак"/>
    <w:link w:val="717"/>
    <w:uiPriority w:val="11"/>
    <w:rPr>
      <w:sz w:val="24"/>
      <w:szCs w:val="24"/>
    </w:rPr>
  </w:style>
  <w:style w:type="paragraph" w:styleId="719">
    <w:name w:val="Quote"/>
    <w:basedOn w:val="676"/>
    <w:next w:val="676"/>
    <w:link w:val="720"/>
    <w:uiPriority w:val="29"/>
    <w:qFormat/>
    <w:pPr>
      <w:ind w:left="720" w:right="720"/>
    </w:pPr>
    <w:rPr>
      <w:i/>
    </w:rPr>
  </w:style>
  <w:style w:type="character" w:styleId="720" w:customStyle="1">
    <w:name w:val="Цитата 2 Знак"/>
    <w:link w:val="719"/>
    <w:uiPriority w:val="29"/>
    <w:rPr>
      <w:i/>
    </w:rPr>
  </w:style>
  <w:style w:type="paragraph" w:styleId="721">
    <w:name w:val="Intense Quote"/>
    <w:basedOn w:val="676"/>
    <w:next w:val="676"/>
    <w:link w:val="72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 w:customStyle="1">
    <w:name w:val="Выделенная цитата Знак"/>
    <w:link w:val="721"/>
    <w:uiPriority w:val="30"/>
    <w:rPr>
      <w:i/>
    </w:rPr>
  </w:style>
  <w:style w:type="paragraph" w:styleId="723">
    <w:name w:val="Header"/>
    <w:basedOn w:val="676"/>
    <w:link w:val="87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24" w:customStyle="1">
    <w:name w:val="Header Char"/>
    <w:uiPriority w:val="99"/>
  </w:style>
  <w:style w:type="paragraph" w:styleId="725">
    <w:name w:val="Footer"/>
    <w:basedOn w:val="676"/>
    <w:link w:val="87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26" w:customStyle="1">
    <w:name w:val="Footer Char"/>
    <w:uiPriority w:val="99"/>
  </w:style>
  <w:style w:type="paragraph" w:styleId="727">
    <w:name w:val="Caption"/>
    <w:basedOn w:val="676"/>
    <w:next w:val="67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8" w:customStyle="1">
    <w:name w:val="Caption Char"/>
    <w:uiPriority w:val="99"/>
  </w:style>
  <w:style w:type="table" w:styleId="729">
    <w:name w:val="Table Grid"/>
    <w:basedOn w:val="687"/>
    <w:uiPriority w:val="59"/>
    <w:tblPr/>
  </w:style>
  <w:style w:type="table" w:styleId="73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563c1"/>
      <w:u w:val="single"/>
    </w:rPr>
  </w:style>
  <w:style w:type="paragraph" w:styleId="856">
    <w:name w:val="footnote text"/>
    <w:basedOn w:val="676"/>
    <w:link w:val="857"/>
    <w:uiPriority w:val="99"/>
    <w:semiHidden/>
    <w:unhideWhenUsed/>
    <w:pPr>
      <w:spacing w:after="40"/>
    </w:pPr>
    <w:rPr>
      <w:sz w:val="18"/>
    </w:rPr>
  </w:style>
  <w:style w:type="character" w:styleId="857" w:customStyle="1">
    <w:name w:val="Текст сноски Знак"/>
    <w:link w:val="856"/>
    <w:uiPriority w:val="99"/>
    <w:rPr>
      <w:sz w:val="18"/>
    </w:rPr>
  </w:style>
  <w:style w:type="character" w:styleId="858">
    <w:name w:val="footnote reference"/>
    <w:uiPriority w:val="99"/>
    <w:unhideWhenUsed/>
    <w:rPr>
      <w:vertAlign w:val="superscript"/>
    </w:rPr>
  </w:style>
  <w:style w:type="paragraph" w:styleId="859">
    <w:name w:val="endnote text"/>
    <w:basedOn w:val="676"/>
    <w:link w:val="860"/>
    <w:uiPriority w:val="99"/>
    <w:semiHidden/>
    <w:unhideWhenUsed/>
    <w:rPr>
      <w:sz w:val="20"/>
    </w:rPr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uiPriority w:val="99"/>
    <w:semiHidden/>
    <w:unhideWhenUsed/>
    <w:rPr>
      <w:vertAlign w:val="superscript"/>
    </w:rPr>
  </w:style>
  <w:style w:type="paragraph" w:styleId="862">
    <w:name w:val="toc 1"/>
    <w:basedOn w:val="676"/>
    <w:next w:val="676"/>
    <w:uiPriority w:val="39"/>
    <w:unhideWhenUsed/>
    <w:pPr>
      <w:spacing w:after="57"/>
    </w:pPr>
  </w:style>
  <w:style w:type="paragraph" w:styleId="863">
    <w:name w:val="toc 2"/>
    <w:basedOn w:val="676"/>
    <w:next w:val="676"/>
    <w:uiPriority w:val="39"/>
    <w:unhideWhenUsed/>
    <w:pPr>
      <w:ind w:left="283"/>
      <w:spacing w:after="57"/>
    </w:pPr>
  </w:style>
  <w:style w:type="paragraph" w:styleId="864">
    <w:name w:val="toc 3"/>
    <w:basedOn w:val="676"/>
    <w:next w:val="676"/>
    <w:uiPriority w:val="39"/>
    <w:unhideWhenUsed/>
    <w:pPr>
      <w:ind w:left="567"/>
      <w:spacing w:after="57"/>
    </w:pPr>
  </w:style>
  <w:style w:type="paragraph" w:styleId="865">
    <w:name w:val="toc 4"/>
    <w:basedOn w:val="676"/>
    <w:next w:val="676"/>
    <w:uiPriority w:val="39"/>
    <w:unhideWhenUsed/>
    <w:pPr>
      <w:ind w:left="850"/>
      <w:spacing w:after="57"/>
    </w:pPr>
  </w:style>
  <w:style w:type="paragraph" w:styleId="866">
    <w:name w:val="toc 5"/>
    <w:basedOn w:val="676"/>
    <w:next w:val="676"/>
    <w:uiPriority w:val="39"/>
    <w:unhideWhenUsed/>
    <w:pPr>
      <w:ind w:left="1134"/>
      <w:spacing w:after="57"/>
    </w:pPr>
  </w:style>
  <w:style w:type="paragraph" w:styleId="867">
    <w:name w:val="toc 6"/>
    <w:basedOn w:val="676"/>
    <w:next w:val="676"/>
    <w:uiPriority w:val="39"/>
    <w:unhideWhenUsed/>
    <w:pPr>
      <w:ind w:left="1417"/>
      <w:spacing w:after="57"/>
    </w:pPr>
  </w:style>
  <w:style w:type="paragraph" w:styleId="868">
    <w:name w:val="toc 7"/>
    <w:basedOn w:val="676"/>
    <w:next w:val="676"/>
    <w:uiPriority w:val="39"/>
    <w:unhideWhenUsed/>
    <w:pPr>
      <w:ind w:left="1701"/>
      <w:spacing w:after="57"/>
    </w:pPr>
  </w:style>
  <w:style w:type="paragraph" w:styleId="869">
    <w:name w:val="toc 8"/>
    <w:basedOn w:val="676"/>
    <w:next w:val="676"/>
    <w:uiPriority w:val="39"/>
    <w:unhideWhenUsed/>
    <w:pPr>
      <w:ind w:left="1984"/>
      <w:spacing w:after="57"/>
    </w:pPr>
  </w:style>
  <w:style w:type="paragraph" w:styleId="870">
    <w:name w:val="toc 9"/>
    <w:basedOn w:val="676"/>
    <w:next w:val="676"/>
    <w:uiPriority w:val="39"/>
    <w:unhideWhenUsed/>
    <w:pPr>
      <w:ind w:left="2268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676"/>
    <w:next w:val="676"/>
    <w:uiPriority w:val="99"/>
    <w:unhideWhenUsed/>
  </w:style>
  <w:style w:type="paragraph" w:styleId="873" w:customStyle="1">
    <w:name w:val="ConsPlusNormal"/>
    <w:pPr>
      <w:widowControl w:val="off"/>
    </w:pPr>
    <w:rPr>
      <w:rFonts w:eastAsia="Times New Roman" w:cs="Calibri"/>
      <w:sz w:val="22"/>
      <w:lang w:eastAsia="ru-RU"/>
    </w:rPr>
  </w:style>
  <w:style w:type="paragraph" w:styleId="874" w:customStyle="1">
    <w:name w:val="ConsPlusTitle"/>
    <w:pPr>
      <w:widowControl w:val="off"/>
    </w:pPr>
    <w:rPr>
      <w:rFonts w:eastAsia="Times New Roman" w:cs="Calibri"/>
      <w:b/>
      <w:sz w:val="22"/>
      <w:lang w:eastAsia="ru-RU"/>
    </w:rPr>
  </w:style>
  <w:style w:type="paragraph" w:styleId="875">
    <w:name w:val="Balloon Text"/>
    <w:basedOn w:val="676"/>
    <w:link w:val="876"/>
    <w:uiPriority w:val="99"/>
    <w:semiHidden/>
    <w:unhideWhenUsed/>
    <w:rPr>
      <w:rFonts w:ascii="Tahoma" w:hAnsi="Tahoma" w:cs="Tahoma"/>
      <w:sz w:val="16"/>
      <w:szCs w:val="16"/>
    </w:rPr>
  </w:style>
  <w:style w:type="character" w:styleId="876" w:customStyle="1">
    <w:name w:val="Текст выноски Знак"/>
    <w:link w:val="875"/>
    <w:uiPriority w:val="99"/>
    <w:semiHidden/>
    <w:rPr>
      <w:rFonts w:ascii="Tahoma" w:hAnsi="Tahoma" w:cs="Tahoma"/>
      <w:sz w:val="16"/>
      <w:szCs w:val="16"/>
    </w:rPr>
  </w:style>
  <w:style w:type="paragraph" w:styleId="877" w:customStyle="1">
    <w:name w:val="ConsPlusNonformat"/>
    <w:pPr>
      <w:widowControl w:val="off"/>
    </w:pPr>
    <w:rPr>
      <w:rFonts w:ascii="Courier New" w:hAnsi="Courier New" w:eastAsia="Times New Roman" w:cs="Courier New"/>
      <w:lang w:eastAsia="ru-RU"/>
    </w:rPr>
  </w:style>
  <w:style w:type="character" w:styleId="878" w:customStyle="1">
    <w:name w:val="Верхний колонтитул Знак"/>
    <w:link w:val="723"/>
    <w:uiPriority w:val="99"/>
    <w:rPr>
      <w:sz w:val="22"/>
      <w:szCs w:val="22"/>
      <w:lang w:eastAsia="en-US"/>
    </w:rPr>
  </w:style>
  <w:style w:type="character" w:styleId="879" w:customStyle="1">
    <w:name w:val="Нижний колонтитул Знак"/>
    <w:link w:val="725"/>
    <w:uiPriority w:val="99"/>
    <w:rPr>
      <w:sz w:val="22"/>
      <w:szCs w:val="22"/>
      <w:lang w:eastAsia="en-US"/>
    </w:rPr>
  </w:style>
  <w:style w:type="character" w:styleId="880" w:customStyle="1">
    <w:name w:val="search_result"/>
  </w:style>
  <w:style w:type="paragraph" w:styleId="881">
    <w:name w:val="Normal (Web)"/>
    <w:basedOn w:val="676"/>
    <w:uiPriority w:val="99"/>
    <w:unhideWhenUsed/>
    <w:pPr>
      <w:spacing w:before="100" w:beforeAutospacing="1" w:after="100" w:afterAutospacing="1"/>
    </w:pPr>
  </w:style>
  <w:style w:type="paragraph" w:styleId="882" w:customStyle="1">
    <w:name w:val="Стиль1"/>
    <w:basedOn w:val="859"/>
    <w:pPr>
      <w:ind w:firstLine="567"/>
      <w:jc w:val="both"/>
      <w:spacing w:line="36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Times New Roman"/>
      <w:sz w:val="24"/>
      <w:szCs w:val="20"/>
    </w:rPr>
  </w:style>
  <w:style w:type="paragraph" w:styleId="883" w:customStyle="1">
    <w:name w:val="обычный текст"/>
    <w:qFormat/>
    <w:pPr>
      <w:ind w:firstLine="709"/>
      <w:jc w:val="both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Богомолова Инна Васильевна</dc:creator>
  <cp:revision>5</cp:revision>
  <dcterms:created xsi:type="dcterms:W3CDTF">2025-07-02T02:15:00Z</dcterms:created>
  <dcterms:modified xsi:type="dcterms:W3CDTF">2025-07-02T07:52:36Z</dcterms:modified>
  <cp:version>1048576</cp:version>
</cp:coreProperties>
</file>